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F2BE" w14:textId="350EB33A" w:rsidR="00362B5A" w:rsidRDefault="003144B4" w:rsidP="003144B4">
      <w:pPr>
        <w:jc w:val="both"/>
        <w:rPr>
          <w:rFonts w:ascii="David" w:hAnsi="David" w:cs="David"/>
          <w:sz w:val="24"/>
          <w:szCs w:val="24"/>
          <w:rtl/>
        </w:rPr>
      </w:pPr>
      <w:r>
        <w:rPr>
          <w:rFonts w:ascii="David" w:hAnsi="David" w:cs="David" w:hint="cs"/>
          <w:sz w:val="24"/>
          <w:szCs w:val="24"/>
          <w:rtl/>
        </w:rPr>
        <w:t>האם ניתן לשנות את דמי המזונות?</w:t>
      </w:r>
    </w:p>
    <w:p w14:paraId="31398B76" w14:textId="77777777" w:rsidR="003144B4" w:rsidRDefault="003144B4" w:rsidP="003144B4">
      <w:pPr>
        <w:jc w:val="both"/>
        <w:rPr>
          <w:rFonts w:ascii="David" w:hAnsi="David" w:cs="David"/>
          <w:sz w:val="24"/>
          <w:szCs w:val="24"/>
          <w:rtl/>
        </w:rPr>
      </w:pPr>
    </w:p>
    <w:p w14:paraId="507C679F" w14:textId="22BFDBC2" w:rsidR="003144B4" w:rsidRDefault="003144B4" w:rsidP="003144B4">
      <w:pPr>
        <w:jc w:val="both"/>
        <w:rPr>
          <w:rFonts w:ascii="David" w:hAnsi="David" w:cs="David"/>
          <w:sz w:val="24"/>
          <w:szCs w:val="24"/>
          <w:rtl/>
        </w:rPr>
      </w:pPr>
      <w:r>
        <w:rPr>
          <w:rFonts w:ascii="David" w:hAnsi="David" w:cs="David" w:hint="cs"/>
          <w:sz w:val="24"/>
          <w:szCs w:val="24"/>
          <w:rtl/>
        </w:rPr>
        <w:t>החלטתם להיפרד ויש לכם ילדים משותפים קטינים</w:t>
      </w:r>
      <w:r w:rsidR="002B1A2C">
        <w:rPr>
          <w:rFonts w:ascii="David" w:hAnsi="David" w:cs="David" w:hint="cs"/>
          <w:sz w:val="24"/>
          <w:szCs w:val="24"/>
          <w:rtl/>
        </w:rPr>
        <w:t>?</w:t>
      </w:r>
      <w:r>
        <w:rPr>
          <w:rFonts w:ascii="David" w:hAnsi="David" w:cs="David" w:hint="cs"/>
          <w:sz w:val="24"/>
          <w:szCs w:val="24"/>
          <w:rtl/>
        </w:rPr>
        <w:t xml:space="preserve"> בין אם הגעתם להסכם בעניין מזונותיהם,  או בין אם ניהלתם הליך משפטי במסגרתו ניתן פסק דין, נשאלת השאלה האם גובה המזונות שנקבעו ה</w:t>
      </w:r>
      <w:r w:rsidR="004564FD">
        <w:rPr>
          <w:rFonts w:ascii="David" w:hAnsi="David" w:cs="David" w:hint="cs"/>
          <w:sz w:val="24"/>
          <w:szCs w:val="24"/>
          <w:rtl/>
        </w:rPr>
        <w:t>וא</w:t>
      </w:r>
      <w:r>
        <w:rPr>
          <w:rFonts w:ascii="David" w:hAnsi="David" w:cs="David" w:hint="cs"/>
          <w:sz w:val="24"/>
          <w:szCs w:val="24"/>
          <w:rtl/>
        </w:rPr>
        <w:t xml:space="preserve"> סוף פסוק או נית</w:t>
      </w:r>
      <w:r w:rsidR="004564FD">
        <w:rPr>
          <w:rFonts w:ascii="David" w:hAnsi="David" w:cs="David" w:hint="cs"/>
          <w:sz w:val="24"/>
          <w:szCs w:val="24"/>
          <w:rtl/>
        </w:rPr>
        <w:t>ן</w:t>
      </w:r>
      <w:r>
        <w:rPr>
          <w:rFonts w:ascii="David" w:hAnsi="David" w:cs="David" w:hint="cs"/>
          <w:sz w:val="24"/>
          <w:szCs w:val="24"/>
          <w:rtl/>
        </w:rPr>
        <w:t xml:space="preserve"> לשינוי</w:t>
      </w:r>
      <w:r w:rsidR="00633603">
        <w:rPr>
          <w:rFonts w:ascii="David" w:hAnsi="David" w:cs="David" w:hint="cs"/>
          <w:sz w:val="24"/>
          <w:szCs w:val="24"/>
          <w:rtl/>
        </w:rPr>
        <w:t>?</w:t>
      </w:r>
    </w:p>
    <w:p w14:paraId="39A41867" w14:textId="10CE32FC" w:rsidR="003144B4" w:rsidRDefault="003144B4" w:rsidP="003144B4">
      <w:pPr>
        <w:jc w:val="both"/>
        <w:rPr>
          <w:rFonts w:ascii="David" w:hAnsi="David" w:cs="David"/>
          <w:sz w:val="24"/>
          <w:szCs w:val="24"/>
          <w:rtl/>
        </w:rPr>
      </w:pPr>
      <w:r>
        <w:rPr>
          <w:rFonts w:ascii="David" w:hAnsi="David" w:cs="David" w:hint="cs"/>
          <w:sz w:val="24"/>
          <w:szCs w:val="24"/>
          <w:rtl/>
        </w:rPr>
        <w:t xml:space="preserve">אז התשובה לכך </w:t>
      </w:r>
      <w:r w:rsidR="00FD5024">
        <w:rPr>
          <w:rFonts w:ascii="David" w:hAnsi="David" w:cs="David" w:hint="cs"/>
          <w:sz w:val="24"/>
          <w:szCs w:val="24"/>
          <w:rtl/>
        </w:rPr>
        <w:t xml:space="preserve">בגדול </w:t>
      </w:r>
      <w:r>
        <w:rPr>
          <w:rFonts w:ascii="David" w:hAnsi="David" w:cs="David" w:hint="cs"/>
          <w:sz w:val="24"/>
          <w:szCs w:val="24"/>
          <w:rtl/>
        </w:rPr>
        <w:t>היא כן</w:t>
      </w:r>
      <w:r w:rsidR="00FD5024">
        <w:rPr>
          <w:rFonts w:ascii="David" w:hAnsi="David" w:cs="David" w:hint="cs"/>
          <w:sz w:val="24"/>
          <w:szCs w:val="24"/>
          <w:rtl/>
        </w:rPr>
        <w:t xml:space="preserve">, אבל לא בכל מקרה, ובכל מקרה -לא בקלות. </w:t>
      </w:r>
    </w:p>
    <w:p w14:paraId="743F3505" w14:textId="045B6377" w:rsidR="003144B4" w:rsidRDefault="003144B4" w:rsidP="003144B4">
      <w:pPr>
        <w:jc w:val="both"/>
        <w:rPr>
          <w:rFonts w:ascii="David" w:hAnsi="David" w:cs="David"/>
          <w:sz w:val="24"/>
          <w:szCs w:val="24"/>
          <w:rtl/>
        </w:rPr>
      </w:pPr>
      <w:r>
        <w:rPr>
          <w:rFonts w:ascii="David" w:hAnsi="David" w:cs="David" w:hint="cs"/>
          <w:sz w:val="24"/>
          <w:szCs w:val="24"/>
          <w:rtl/>
        </w:rPr>
        <w:t>הכוונה היא שמאחר וביצועו של פסק הדין למזונות מלווה את המשפחה במשך שנים קדימה, החוק לתיקון דיני המשפחה (מזונות), תשי"ט-1959 ("</w:t>
      </w:r>
      <w:r w:rsidRPr="002625A4">
        <w:rPr>
          <w:rFonts w:ascii="David" w:hAnsi="David" w:cs="David" w:hint="cs"/>
          <w:b/>
          <w:bCs/>
          <w:sz w:val="24"/>
          <w:szCs w:val="24"/>
          <w:rtl/>
        </w:rPr>
        <w:t>החוק</w:t>
      </w:r>
      <w:r>
        <w:rPr>
          <w:rFonts w:ascii="David" w:hAnsi="David" w:cs="David" w:hint="cs"/>
          <w:sz w:val="24"/>
          <w:szCs w:val="24"/>
          <w:rtl/>
        </w:rPr>
        <w:t xml:space="preserve">") מאפשר </w:t>
      </w:r>
      <w:r w:rsidR="0049457A">
        <w:rPr>
          <w:rFonts w:ascii="David" w:hAnsi="David" w:cs="David" w:hint="cs"/>
          <w:sz w:val="24"/>
          <w:szCs w:val="24"/>
          <w:rtl/>
        </w:rPr>
        <w:t>לסטות בנסיבות מיוחדות מהקבוע בפסק הדין ואין מחסום בפני התדיינות חוזרת בעניין, אלא שלצורך פתיחת ההתדיינות מחדש, יידרש הפעם מהמבקש את השינוי (הגדלה או הפחתה</w:t>
      </w:r>
      <w:r w:rsidR="00FD5024">
        <w:rPr>
          <w:rFonts w:ascii="David" w:hAnsi="David" w:cs="David" w:hint="cs"/>
          <w:sz w:val="24"/>
          <w:szCs w:val="24"/>
          <w:rtl/>
        </w:rPr>
        <w:t xml:space="preserve"> של המזונות החודשיים</w:t>
      </w:r>
      <w:r w:rsidR="0049457A">
        <w:rPr>
          <w:rFonts w:ascii="David" w:hAnsi="David" w:cs="David" w:hint="cs"/>
          <w:sz w:val="24"/>
          <w:szCs w:val="24"/>
          <w:rtl/>
        </w:rPr>
        <w:t xml:space="preserve">) להוכיח שחל </w:t>
      </w:r>
      <w:r w:rsidR="0049457A" w:rsidRPr="002625A4">
        <w:rPr>
          <w:rFonts w:ascii="David" w:hAnsi="David" w:cs="David" w:hint="cs"/>
          <w:b/>
          <w:bCs/>
          <w:sz w:val="24"/>
          <w:szCs w:val="24"/>
          <w:rtl/>
        </w:rPr>
        <w:t>שינוי נסיבות מהותי</w:t>
      </w:r>
      <w:r w:rsidR="0049457A">
        <w:rPr>
          <w:rFonts w:ascii="David" w:hAnsi="David" w:cs="David" w:hint="cs"/>
          <w:sz w:val="24"/>
          <w:szCs w:val="24"/>
          <w:rtl/>
        </w:rPr>
        <w:t xml:space="preserve"> ביחס למצב שהיה במעמד מתן פסק הדין</w:t>
      </w:r>
      <w:r w:rsidR="00602A52">
        <w:rPr>
          <w:rFonts w:ascii="David" w:hAnsi="David" w:cs="David" w:hint="cs"/>
          <w:sz w:val="24"/>
          <w:szCs w:val="24"/>
          <w:rtl/>
        </w:rPr>
        <w:t xml:space="preserve">, שינוי כזה שלא היה ניתן לצפותו מראש וכזה שיצדיק את השינוי בגובה המזונות שנקבע. </w:t>
      </w:r>
    </w:p>
    <w:p w14:paraId="7A14077E" w14:textId="3F77FAEE" w:rsidR="00102814" w:rsidRDefault="00102814" w:rsidP="003144B4">
      <w:pPr>
        <w:jc w:val="both"/>
        <w:rPr>
          <w:rFonts w:ascii="David" w:hAnsi="David" w:cs="David"/>
          <w:sz w:val="24"/>
          <w:szCs w:val="24"/>
          <w:rtl/>
        </w:rPr>
      </w:pPr>
      <w:r>
        <w:rPr>
          <w:rFonts w:ascii="David" w:hAnsi="David" w:cs="David" w:hint="cs"/>
          <w:sz w:val="24"/>
          <w:szCs w:val="24"/>
          <w:rtl/>
        </w:rPr>
        <w:t xml:space="preserve">תביעות כאלו מתבררות בזהירות רבה בבתי המשפט ולא פעם נדחות, במאמר זה </w:t>
      </w:r>
      <w:r w:rsidR="00FD5024">
        <w:rPr>
          <w:rFonts w:ascii="David" w:hAnsi="David" w:cs="David" w:hint="cs"/>
          <w:sz w:val="24"/>
          <w:szCs w:val="24"/>
          <w:rtl/>
        </w:rPr>
        <w:t>ננסה ל</w:t>
      </w:r>
      <w:r>
        <w:rPr>
          <w:rFonts w:ascii="David" w:hAnsi="David" w:cs="David" w:hint="cs"/>
          <w:sz w:val="24"/>
          <w:szCs w:val="24"/>
          <w:rtl/>
        </w:rPr>
        <w:t>נעש</w:t>
      </w:r>
      <w:r w:rsidR="00FD5024">
        <w:rPr>
          <w:rFonts w:ascii="David" w:hAnsi="David" w:cs="David" w:hint="cs"/>
          <w:sz w:val="24"/>
          <w:szCs w:val="24"/>
          <w:rtl/>
        </w:rPr>
        <w:t>ות לכם</w:t>
      </w:r>
      <w:r>
        <w:rPr>
          <w:rFonts w:ascii="David" w:hAnsi="David" w:cs="David" w:hint="cs"/>
          <w:sz w:val="24"/>
          <w:szCs w:val="24"/>
          <w:rtl/>
        </w:rPr>
        <w:t xml:space="preserve"> סדר מתי ובאיזה אופן ניתן יהיה לשנות את דמי המזונות והאם בכלל כדאי</w:t>
      </w:r>
      <w:r w:rsidR="00FD5024">
        <w:rPr>
          <w:rFonts w:ascii="David" w:hAnsi="David" w:cs="David" w:hint="cs"/>
          <w:sz w:val="24"/>
          <w:szCs w:val="24"/>
          <w:rtl/>
        </w:rPr>
        <w:t xml:space="preserve"> לפתוח בהליכים משפטיים בנושא</w:t>
      </w:r>
      <w:r>
        <w:rPr>
          <w:rFonts w:ascii="David" w:hAnsi="David" w:cs="David" w:hint="cs"/>
          <w:sz w:val="24"/>
          <w:szCs w:val="24"/>
          <w:rtl/>
        </w:rPr>
        <w:t xml:space="preserve">. </w:t>
      </w:r>
    </w:p>
    <w:p w14:paraId="2D5F2AEF" w14:textId="5CD6FEC8" w:rsidR="004564FD" w:rsidRDefault="004564FD" w:rsidP="003144B4">
      <w:pPr>
        <w:jc w:val="both"/>
        <w:rPr>
          <w:rFonts w:ascii="David" w:hAnsi="David" w:cs="David"/>
          <w:sz w:val="24"/>
          <w:szCs w:val="24"/>
          <w:rtl/>
        </w:rPr>
      </w:pPr>
      <w:r>
        <w:rPr>
          <w:rFonts w:ascii="David" w:hAnsi="David" w:cs="David" w:hint="cs"/>
          <w:sz w:val="24"/>
          <w:szCs w:val="24"/>
          <w:rtl/>
        </w:rPr>
        <w:t xml:space="preserve">כאמור התנאי לשינוי המבוקש יהיה שבכלל מתקיים שינוי נסיבות </w:t>
      </w:r>
      <w:r w:rsidRPr="002B0CE2">
        <w:rPr>
          <w:rFonts w:ascii="David" w:hAnsi="David" w:cs="David" w:hint="eastAsia"/>
          <w:b/>
          <w:bCs/>
          <w:sz w:val="24"/>
          <w:szCs w:val="24"/>
          <w:u w:val="single"/>
          <w:rtl/>
        </w:rPr>
        <w:t>מהותי</w:t>
      </w:r>
      <w:r>
        <w:rPr>
          <w:rFonts w:ascii="David" w:hAnsi="David" w:cs="David" w:hint="cs"/>
          <w:sz w:val="24"/>
          <w:szCs w:val="24"/>
          <w:rtl/>
        </w:rPr>
        <w:t>, כזה שהוכח וגובה בראיות, שינוי מהותי שלא יהיה צודק להותיר את  דמי המזונות על כנם ואשר המבקש אותו פעל בתום לב.</w:t>
      </w:r>
      <w:r w:rsidR="005D71C9">
        <w:rPr>
          <w:rFonts w:ascii="David" w:hAnsi="David" w:cs="David" w:hint="cs"/>
          <w:sz w:val="24"/>
          <w:szCs w:val="24"/>
          <w:rtl/>
        </w:rPr>
        <w:t xml:space="preserve"> באופן טבעי, הנטל להוכחת שינוי נסיבות מהותי יהיה גדול יותר כאשר המזונות נקבעו בהסכם גירושין כולל שבדרך כלל כולל הסכמות השלובות זו בזו עליהן הסתמכו הצדדים בבואם לחתום עליו</w:t>
      </w:r>
      <w:r w:rsidR="00FD5024">
        <w:rPr>
          <w:rFonts w:ascii="David" w:hAnsi="David" w:cs="David" w:hint="cs"/>
          <w:sz w:val="24"/>
          <w:szCs w:val="24"/>
          <w:rtl/>
        </w:rPr>
        <w:t xml:space="preserve">, וזאת בניגוד לפסק דין שניתן בתביעת המזונות במנותק מהסכסוך </w:t>
      </w:r>
      <w:proofErr w:type="spellStart"/>
      <w:r w:rsidR="00FD5024">
        <w:rPr>
          <w:rFonts w:ascii="David" w:hAnsi="David" w:cs="David" w:hint="cs"/>
          <w:sz w:val="24"/>
          <w:szCs w:val="24"/>
          <w:rtl/>
        </w:rPr>
        <w:t>הרכושי</w:t>
      </w:r>
      <w:proofErr w:type="spellEnd"/>
      <w:r w:rsidR="00FD5024">
        <w:rPr>
          <w:rFonts w:ascii="David" w:hAnsi="David" w:cs="David" w:hint="cs"/>
          <w:sz w:val="24"/>
          <w:szCs w:val="24"/>
          <w:rtl/>
        </w:rPr>
        <w:t xml:space="preserve"> בין הצדדים</w:t>
      </w:r>
      <w:r w:rsidR="005D71C9">
        <w:rPr>
          <w:rFonts w:ascii="David" w:hAnsi="David" w:cs="David" w:hint="cs"/>
          <w:sz w:val="24"/>
          <w:szCs w:val="24"/>
          <w:rtl/>
        </w:rPr>
        <w:t xml:space="preserve">. </w:t>
      </w:r>
    </w:p>
    <w:p w14:paraId="3B3E45AE" w14:textId="45A7AB1E" w:rsidR="004841D6" w:rsidRDefault="004841D6" w:rsidP="003144B4">
      <w:pPr>
        <w:jc w:val="both"/>
        <w:rPr>
          <w:rFonts w:ascii="David" w:hAnsi="David" w:cs="David"/>
          <w:sz w:val="24"/>
          <w:szCs w:val="24"/>
          <w:rtl/>
        </w:rPr>
      </w:pPr>
      <w:r>
        <w:rPr>
          <w:rFonts w:ascii="David" w:hAnsi="David" w:cs="David" w:hint="cs"/>
          <w:sz w:val="24"/>
          <w:szCs w:val="24"/>
          <w:rtl/>
        </w:rPr>
        <w:t xml:space="preserve">אז מה יכול להיחשב שינוי נסיבות ומה לא? </w:t>
      </w:r>
    </w:p>
    <w:p w14:paraId="048E3EA7" w14:textId="7DEE8EA0" w:rsidR="004841D6" w:rsidRDefault="004841D6" w:rsidP="003144B4">
      <w:pPr>
        <w:jc w:val="both"/>
        <w:rPr>
          <w:rFonts w:ascii="David" w:hAnsi="David" w:cs="David"/>
          <w:sz w:val="24"/>
          <w:szCs w:val="24"/>
          <w:rtl/>
        </w:rPr>
      </w:pPr>
      <w:r>
        <w:rPr>
          <w:rFonts w:ascii="David" w:hAnsi="David" w:cs="David" w:hint="cs"/>
          <w:sz w:val="24"/>
          <w:szCs w:val="24"/>
          <w:rtl/>
        </w:rPr>
        <w:t xml:space="preserve">התשובה לכך היא לא חד משמעית ותלויה בבחינת כל מקרה באופן פרטני וכן בשופט הדן בתביעה, אך ניתן להתרשם מהפסיקה הענפה, </w:t>
      </w:r>
      <w:r w:rsidR="00FD5024">
        <w:rPr>
          <w:rFonts w:ascii="David" w:hAnsi="David" w:cs="David" w:hint="cs"/>
          <w:sz w:val="24"/>
          <w:szCs w:val="24"/>
          <w:rtl/>
        </w:rPr>
        <w:t>ולנסות לקבוע כללי אצבע שיעזרו לנו להחליט האם כדאי להגיש תביעה להפחתת/הגדלת מזונות</w:t>
      </w:r>
      <w:r w:rsidRPr="00355806">
        <w:rPr>
          <w:rFonts w:ascii="David" w:hAnsi="David" w:cs="David" w:hint="cs"/>
          <w:sz w:val="24"/>
          <w:szCs w:val="24"/>
          <w:rtl/>
        </w:rPr>
        <w:t xml:space="preserve">. </w:t>
      </w:r>
    </w:p>
    <w:p w14:paraId="50877B69" w14:textId="2F9B4339" w:rsidR="004841D6" w:rsidRDefault="004841D6" w:rsidP="003144B4">
      <w:pPr>
        <w:jc w:val="both"/>
        <w:rPr>
          <w:rFonts w:ascii="David" w:hAnsi="David" w:cs="David"/>
          <w:sz w:val="24"/>
          <w:szCs w:val="24"/>
          <w:rtl/>
        </w:rPr>
      </w:pPr>
      <w:r w:rsidRPr="005D71C9">
        <w:rPr>
          <w:rFonts w:ascii="David" w:hAnsi="David" w:cs="David" w:hint="cs"/>
          <w:b/>
          <w:bCs/>
          <w:sz w:val="24"/>
          <w:szCs w:val="24"/>
          <w:rtl/>
        </w:rPr>
        <w:t>שינוי בחלוקת זמני השהות</w:t>
      </w:r>
      <w:r>
        <w:rPr>
          <w:rFonts w:ascii="David" w:hAnsi="David" w:cs="David" w:hint="cs"/>
          <w:sz w:val="24"/>
          <w:szCs w:val="24"/>
          <w:rtl/>
        </w:rPr>
        <w:t xml:space="preserve"> בין ההורים היא אחת הסיבות העיקריות לבחינה מחודשת של גובה המזונות, אולם חשוב לציין שלא כל שינוי בחלוקת זמני השהות בין ההורים יהווה שינוי מהותי שיצדיק את השינוי. לדוגמא, הוספת לילה-שניים </w:t>
      </w:r>
      <w:r w:rsidR="00355806">
        <w:rPr>
          <w:rFonts w:ascii="David" w:hAnsi="David" w:cs="David" w:hint="cs"/>
          <w:sz w:val="24"/>
          <w:szCs w:val="24"/>
          <w:rtl/>
        </w:rPr>
        <w:t xml:space="preserve">בחודש </w:t>
      </w:r>
      <w:r>
        <w:rPr>
          <w:rFonts w:ascii="David" w:hAnsi="David" w:cs="David" w:hint="cs"/>
          <w:sz w:val="24"/>
          <w:szCs w:val="24"/>
          <w:rtl/>
        </w:rPr>
        <w:t xml:space="preserve">לא </w:t>
      </w:r>
      <w:r w:rsidR="00355806">
        <w:rPr>
          <w:rFonts w:ascii="David" w:hAnsi="David" w:cs="David" w:hint="cs"/>
          <w:sz w:val="24"/>
          <w:szCs w:val="24"/>
          <w:rtl/>
        </w:rPr>
        <w:t>יי</w:t>
      </w:r>
      <w:r>
        <w:rPr>
          <w:rFonts w:ascii="David" w:hAnsi="David" w:cs="David" w:hint="cs"/>
          <w:sz w:val="24"/>
          <w:szCs w:val="24"/>
          <w:rtl/>
        </w:rPr>
        <w:t xml:space="preserve">חשב לשינוי מהותי, אך הכפלת זמני השהות בהחלט </w:t>
      </w:r>
      <w:r w:rsidR="003D6353">
        <w:rPr>
          <w:rFonts w:ascii="David" w:hAnsi="David" w:cs="David" w:hint="cs"/>
          <w:sz w:val="24"/>
          <w:szCs w:val="24"/>
          <w:rtl/>
        </w:rPr>
        <w:t xml:space="preserve">ייחשב כשינוי משמעותי שיש לו השלכות כלכליות בכך שמגדיל באופן מובהק את הוצאותיו של </w:t>
      </w:r>
      <w:r w:rsidR="00FD5024">
        <w:rPr>
          <w:rFonts w:ascii="David" w:hAnsi="David" w:cs="David" w:hint="cs"/>
          <w:sz w:val="24"/>
          <w:szCs w:val="24"/>
          <w:rtl/>
        </w:rPr>
        <w:t xml:space="preserve">ההורה </w:t>
      </w:r>
      <w:r w:rsidR="003D6353">
        <w:rPr>
          <w:rFonts w:ascii="David" w:hAnsi="David" w:cs="David" w:hint="cs"/>
          <w:sz w:val="24"/>
          <w:szCs w:val="24"/>
          <w:rtl/>
        </w:rPr>
        <w:t xml:space="preserve">שכבר </w:t>
      </w:r>
      <w:proofErr w:type="spellStart"/>
      <w:r w:rsidR="003D6353">
        <w:rPr>
          <w:rFonts w:ascii="David" w:hAnsi="David" w:cs="David" w:hint="cs"/>
          <w:sz w:val="24"/>
          <w:szCs w:val="24"/>
          <w:rtl/>
        </w:rPr>
        <w:t>במילא</w:t>
      </w:r>
      <w:proofErr w:type="spellEnd"/>
      <w:r w:rsidR="003D6353">
        <w:rPr>
          <w:rFonts w:ascii="David" w:hAnsi="David" w:cs="David" w:hint="cs"/>
          <w:sz w:val="24"/>
          <w:szCs w:val="24"/>
          <w:rtl/>
        </w:rPr>
        <w:t xml:space="preserve"> נושא במזונות ילדיו, מה שמביא לכפל הוצאות שנחסכות </w:t>
      </w:r>
      <w:r w:rsidR="00FD5024">
        <w:rPr>
          <w:rFonts w:ascii="David" w:hAnsi="David" w:cs="David" w:hint="cs"/>
          <w:sz w:val="24"/>
          <w:szCs w:val="24"/>
          <w:rtl/>
        </w:rPr>
        <w:t>מההורה השני</w:t>
      </w:r>
      <w:r w:rsidR="003D6353">
        <w:rPr>
          <w:rFonts w:ascii="David" w:hAnsi="David" w:cs="David" w:hint="cs"/>
          <w:sz w:val="24"/>
          <w:szCs w:val="24"/>
          <w:rtl/>
        </w:rPr>
        <w:t xml:space="preserve">. </w:t>
      </w:r>
      <w:r w:rsidR="00650B5A">
        <w:rPr>
          <w:rFonts w:ascii="David" w:hAnsi="David" w:cs="David" w:hint="cs"/>
          <w:sz w:val="24"/>
          <w:szCs w:val="24"/>
          <w:rtl/>
        </w:rPr>
        <w:t>כך גם להיפך, זמני שהות שהתחילו שווים בזמן פסיקת דמי המזונות ועם השנים הלכו והצטמצמו, הביאו להגדלת הוצאותיו של ההורה שאצלו הורחבו זמני השהות ויצדיקו שינוי בפסיקת מזונות</w:t>
      </w:r>
      <w:r w:rsidR="002D4E95">
        <w:rPr>
          <w:rFonts w:ascii="David" w:hAnsi="David" w:cs="David" w:hint="cs"/>
          <w:sz w:val="24"/>
          <w:szCs w:val="24"/>
          <w:rtl/>
        </w:rPr>
        <w:t xml:space="preserve">. </w:t>
      </w:r>
    </w:p>
    <w:p w14:paraId="5E0D9361" w14:textId="7FF6D170" w:rsidR="00355806" w:rsidRDefault="00355806" w:rsidP="003144B4">
      <w:pPr>
        <w:jc w:val="both"/>
        <w:rPr>
          <w:rFonts w:ascii="David" w:hAnsi="David" w:cs="David"/>
          <w:sz w:val="24"/>
          <w:szCs w:val="24"/>
          <w:rtl/>
        </w:rPr>
      </w:pPr>
      <w:r>
        <w:rPr>
          <w:rFonts w:ascii="David" w:hAnsi="David" w:cs="David" w:hint="cs"/>
          <w:sz w:val="24"/>
          <w:szCs w:val="24"/>
          <w:rtl/>
        </w:rPr>
        <w:t xml:space="preserve">הסיבה </w:t>
      </w:r>
      <w:proofErr w:type="spellStart"/>
      <w:r>
        <w:rPr>
          <w:rFonts w:ascii="David" w:hAnsi="David" w:cs="David" w:hint="cs"/>
          <w:sz w:val="24"/>
          <w:szCs w:val="24"/>
          <w:rtl/>
        </w:rPr>
        <w:t>השניה</w:t>
      </w:r>
      <w:proofErr w:type="spellEnd"/>
      <w:r>
        <w:rPr>
          <w:rFonts w:ascii="David" w:hAnsi="David" w:cs="David" w:hint="cs"/>
          <w:sz w:val="24"/>
          <w:szCs w:val="24"/>
          <w:rtl/>
        </w:rPr>
        <w:t xml:space="preserve"> שגם היא פופולרית</w:t>
      </w:r>
      <w:r w:rsidR="005D71C9">
        <w:rPr>
          <w:rFonts w:ascii="David" w:hAnsi="David" w:cs="David" w:hint="cs"/>
          <w:sz w:val="24"/>
          <w:szCs w:val="24"/>
          <w:rtl/>
        </w:rPr>
        <w:t xml:space="preserve"> ביותר</w:t>
      </w:r>
      <w:r>
        <w:rPr>
          <w:rFonts w:ascii="David" w:hAnsi="David" w:cs="David" w:hint="cs"/>
          <w:sz w:val="24"/>
          <w:szCs w:val="24"/>
          <w:rtl/>
        </w:rPr>
        <w:t xml:space="preserve"> בקרב מבקשי שינוי גובה דמי המזונות היא </w:t>
      </w:r>
      <w:r w:rsidRPr="005D71C9">
        <w:rPr>
          <w:rFonts w:ascii="David" w:hAnsi="David" w:cs="David" w:hint="cs"/>
          <w:b/>
          <w:bCs/>
          <w:sz w:val="24"/>
          <w:szCs w:val="24"/>
          <w:rtl/>
        </w:rPr>
        <w:t xml:space="preserve">שינוי במצב הכלכלי </w:t>
      </w:r>
      <w:r>
        <w:rPr>
          <w:rFonts w:ascii="David" w:hAnsi="David" w:cs="David" w:hint="cs"/>
          <w:sz w:val="24"/>
          <w:szCs w:val="24"/>
          <w:rtl/>
        </w:rPr>
        <w:t>של האב או של האם או של שניהם. לדוגמא, מצבו הכלכלי של האב המשלם את דמי המזונות הורע ומנגד מצבה הכלכלי של האם הוטב עקב כך שהחלה לפתח את הקריירה שלה לאחר הגירושין</w:t>
      </w:r>
      <w:r w:rsidR="00CB2764">
        <w:rPr>
          <w:rFonts w:ascii="David" w:hAnsi="David" w:cs="David" w:hint="cs"/>
          <w:sz w:val="24"/>
          <w:szCs w:val="24"/>
          <w:rtl/>
        </w:rPr>
        <w:t xml:space="preserve"> והכנסתה הוכפלה מההכנסה שהייתה </w:t>
      </w:r>
      <w:r w:rsidR="00FD5024">
        <w:rPr>
          <w:rFonts w:ascii="David" w:hAnsi="David" w:cs="David" w:hint="cs"/>
          <w:sz w:val="24"/>
          <w:szCs w:val="24"/>
          <w:rtl/>
        </w:rPr>
        <w:t xml:space="preserve">לה </w:t>
      </w:r>
      <w:r w:rsidR="00CB2764">
        <w:rPr>
          <w:rFonts w:ascii="David" w:hAnsi="David" w:cs="David" w:hint="cs"/>
          <w:sz w:val="24"/>
          <w:szCs w:val="24"/>
          <w:rtl/>
        </w:rPr>
        <w:t xml:space="preserve">בזמן </w:t>
      </w:r>
      <w:r w:rsidR="00FD5024">
        <w:rPr>
          <w:rFonts w:ascii="David" w:hAnsi="David" w:cs="David" w:hint="cs"/>
          <w:sz w:val="24"/>
          <w:szCs w:val="24"/>
          <w:rtl/>
        </w:rPr>
        <w:t>עריכת ההסכם/מתן פסק הדין</w:t>
      </w:r>
      <w:r w:rsidR="00CB2764">
        <w:rPr>
          <w:rFonts w:ascii="David" w:hAnsi="David" w:cs="David" w:hint="cs"/>
          <w:sz w:val="24"/>
          <w:szCs w:val="24"/>
          <w:rtl/>
        </w:rPr>
        <w:t xml:space="preserve">. ראוי לציין כי פיטורים ממקום העבודה לרוב </w:t>
      </w:r>
      <w:r w:rsidR="00CB2764" w:rsidRPr="002E2809">
        <w:rPr>
          <w:rFonts w:ascii="David" w:hAnsi="David" w:cs="David" w:hint="cs"/>
          <w:b/>
          <w:bCs/>
          <w:sz w:val="24"/>
          <w:szCs w:val="24"/>
          <w:rtl/>
        </w:rPr>
        <w:t xml:space="preserve">לא </w:t>
      </w:r>
      <w:r w:rsidR="00CB2764">
        <w:rPr>
          <w:rFonts w:ascii="David" w:hAnsi="David" w:cs="David" w:hint="cs"/>
          <w:sz w:val="24"/>
          <w:szCs w:val="24"/>
          <w:rtl/>
        </w:rPr>
        <w:t xml:space="preserve">יתקבלו כשינוי נסיבות מהותי מאחר ובתי המשפט רואים בכך עניין זמני וממנו יגזרו את פוטנציאל ההשתכרות. </w:t>
      </w:r>
    </w:p>
    <w:p w14:paraId="72E93729" w14:textId="6E16CBB1" w:rsidR="00CB2764" w:rsidRDefault="00CB2764" w:rsidP="003144B4">
      <w:pPr>
        <w:jc w:val="both"/>
        <w:rPr>
          <w:rFonts w:ascii="David" w:hAnsi="David" w:cs="David"/>
          <w:sz w:val="24"/>
          <w:szCs w:val="24"/>
          <w:rtl/>
        </w:rPr>
      </w:pPr>
      <w:r>
        <w:rPr>
          <w:rFonts w:ascii="David" w:hAnsi="David" w:cs="David" w:hint="cs"/>
          <w:sz w:val="24"/>
          <w:szCs w:val="24"/>
          <w:rtl/>
        </w:rPr>
        <w:t xml:space="preserve">דוגמא נוספת לשינוי במצב הכלכלי יכול להיות גם מגורים משותפים עם בן זוג, או </w:t>
      </w:r>
      <w:r w:rsidR="00633AD6">
        <w:rPr>
          <w:rFonts w:ascii="David" w:hAnsi="David" w:cs="David" w:hint="cs"/>
          <w:sz w:val="24"/>
          <w:szCs w:val="24"/>
          <w:rtl/>
        </w:rPr>
        <w:t>מגורים ב</w:t>
      </w:r>
      <w:r>
        <w:rPr>
          <w:rFonts w:ascii="David" w:hAnsi="David" w:cs="David" w:hint="cs"/>
          <w:sz w:val="24"/>
          <w:szCs w:val="24"/>
          <w:rtl/>
        </w:rPr>
        <w:t xml:space="preserve">נכס נטול משכנתא/ שכירות בו יש לבן הזוג זכות מגורים,  מה שמביא לצמצום הוצאות המדור ואף לביטולם. </w:t>
      </w:r>
    </w:p>
    <w:p w14:paraId="2B5F9C43" w14:textId="52AB15C9" w:rsidR="005708AC" w:rsidRDefault="00DC48FB" w:rsidP="005708AC">
      <w:pPr>
        <w:jc w:val="both"/>
        <w:rPr>
          <w:rFonts w:ascii="David" w:hAnsi="David" w:cs="David"/>
          <w:sz w:val="24"/>
          <w:szCs w:val="24"/>
          <w:rtl/>
        </w:rPr>
      </w:pPr>
      <w:r>
        <w:rPr>
          <w:rFonts w:ascii="David" w:hAnsi="David" w:cs="David" w:hint="cs"/>
          <w:sz w:val="24"/>
          <w:szCs w:val="24"/>
          <w:rtl/>
        </w:rPr>
        <w:t xml:space="preserve">השינוי </w:t>
      </w:r>
      <w:r w:rsidR="005708AC">
        <w:rPr>
          <w:rFonts w:ascii="David" w:hAnsi="David" w:cs="David" w:hint="cs"/>
          <w:sz w:val="24"/>
          <w:szCs w:val="24"/>
          <w:rtl/>
        </w:rPr>
        <w:t xml:space="preserve">יכול להיות לא רק בהגדלת שכר, אלא גם בזכייה בנכסים,  כגון מתנות וירושות בעלות ערך רב ששינו את מצבו הכלכלי של המקבל אותן. </w:t>
      </w:r>
      <w:r>
        <w:rPr>
          <w:rFonts w:ascii="David" w:hAnsi="David" w:cs="David" w:hint="cs"/>
          <w:sz w:val="24"/>
          <w:szCs w:val="24"/>
          <w:rtl/>
        </w:rPr>
        <w:t>הדבר נכון גם להיפך</w:t>
      </w:r>
      <w:r w:rsidR="005708AC">
        <w:rPr>
          <w:rFonts w:ascii="David" w:hAnsi="David" w:cs="David" w:hint="cs"/>
          <w:sz w:val="24"/>
          <w:szCs w:val="24"/>
          <w:rtl/>
        </w:rPr>
        <w:t>, איבוד נכסים והיקלעות לחובות יוצר</w:t>
      </w:r>
      <w:r w:rsidR="002E2809">
        <w:rPr>
          <w:rFonts w:ascii="David" w:hAnsi="David" w:cs="David" w:hint="cs"/>
          <w:sz w:val="24"/>
          <w:szCs w:val="24"/>
          <w:rtl/>
        </w:rPr>
        <w:t>ים</w:t>
      </w:r>
      <w:r w:rsidR="005708AC">
        <w:rPr>
          <w:rFonts w:ascii="David" w:hAnsi="David" w:cs="David" w:hint="cs"/>
          <w:sz w:val="24"/>
          <w:szCs w:val="24"/>
          <w:rtl/>
        </w:rPr>
        <w:t xml:space="preserve"> שינוי במצב הכלכלי גם אם השכר נותר זהה. </w:t>
      </w:r>
    </w:p>
    <w:p w14:paraId="0DFA822C" w14:textId="77777777" w:rsidR="005708AC" w:rsidRDefault="005708AC" w:rsidP="005708AC">
      <w:pPr>
        <w:jc w:val="both"/>
        <w:rPr>
          <w:rFonts w:ascii="David" w:hAnsi="David" w:cs="David"/>
          <w:sz w:val="24"/>
          <w:szCs w:val="24"/>
          <w:rtl/>
        </w:rPr>
      </w:pPr>
      <w:r>
        <w:rPr>
          <w:rFonts w:ascii="David" w:hAnsi="David" w:cs="David" w:hint="cs"/>
          <w:sz w:val="24"/>
          <w:szCs w:val="24"/>
          <w:rtl/>
        </w:rPr>
        <w:lastRenderedPageBreak/>
        <w:t xml:space="preserve">לדוגמא, האב והאם נותרו עם אותה עבודה ואותו שכר, אלא שהאם קיבלה במהלך השנים נכס בירושה והיא כעת מתגוררת בו. ברור שבמקרה כזה כאשר נחסכים ממנה אלפי שקלים בחודש עבור מדור והיא בעלת נכס, מצבה הכלכלי הוטב ואין טעם להמשיך לחייב את האב בדמי המדור. </w:t>
      </w:r>
    </w:p>
    <w:p w14:paraId="3F2FE48C" w14:textId="77777777" w:rsidR="005708AC" w:rsidRDefault="005708AC" w:rsidP="003144B4">
      <w:pPr>
        <w:jc w:val="both"/>
        <w:rPr>
          <w:rFonts w:ascii="David" w:hAnsi="David" w:cs="David"/>
          <w:sz w:val="24"/>
          <w:szCs w:val="24"/>
          <w:rtl/>
        </w:rPr>
      </w:pPr>
    </w:p>
    <w:p w14:paraId="6C1A1F95" w14:textId="6352F1E7" w:rsidR="005708AC" w:rsidRDefault="00633AD6" w:rsidP="003144B4">
      <w:pPr>
        <w:jc w:val="both"/>
        <w:rPr>
          <w:rFonts w:ascii="David" w:hAnsi="David" w:cs="David"/>
          <w:sz w:val="24"/>
          <w:szCs w:val="24"/>
          <w:rtl/>
        </w:rPr>
      </w:pPr>
      <w:r>
        <w:rPr>
          <w:rFonts w:ascii="David" w:hAnsi="David" w:cs="David" w:hint="cs"/>
          <w:sz w:val="24"/>
          <w:szCs w:val="24"/>
          <w:rtl/>
        </w:rPr>
        <w:t>חשוב לציין כי השינוי במצב הכלכלי צריך להיות מהותי ולא כל תוספת או הפחתה של 2,000 ₪ לשכר, יהווה שינוי נסיבות מהותי, ולכן אין לרוץ לערכאות המשפטיות בכל מקרה של שינוי כי לעתים השינוי הוא כה מינורי והתביעה תידחה וכך סתם נגררתם להוצאות מיותרות</w:t>
      </w:r>
      <w:r w:rsidR="005708AC">
        <w:rPr>
          <w:rFonts w:ascii="David" w:hAnsi="David" w:cs="David" w:hint="cs"/>
          <w:sz w:val="24"/>
          <w:szCs w:val="24"/>
          <w:rtl/>
        </w:rPr>
        <w:t>, כך לדוגמא, במקרה שהגיע לטיפולנו, אב הגיש נגד האם אותה ייצגנו, תביעה לביטול/הפחתה של דמי המזונות שנקבעו בהסכם גירושין. באותו מקרה לא הצליח האב להצביע על שינוי נסיבות מהותי ובית המשפט הצליח לשכנע אותו לחזור בו מהתביעה ולמחוק אותה</w:t>
      </w:r>
      <w:r>
        <w:rPr>
          <w:rFonts w:ascii="David" w:hAnsi="David" w:cs="David" w:hint="cs"/>
          <w:sz w:val="24"/>
          <w:szCs w:val="24"/>
          <w:rtl/>
        </w:rPr>
        <w:t>.</w:t>
      </w:r>
      <w:r w:rsidR="005708AC">
        <w:rPr>
          <w:rFonts w:ascii="David" w:hAnsi="David" w:cs="David" w:hint="cs"/>
          <w:sz w:val="24"/>
          <w:szCs w:val="24"/>
          <w:rtl/>
        </w:rPr>
        <w:t xml:space="preserve"> לצערי הרב התוצאה המשמחת עבור לקוחתנו, כמו בהרבה מקרים, לא תשיב לה את ההוצאות שנגרמו לה, אך המגמה השתנתה לאחרונה ובמקרים שבעל הדין מתעקש לנהל את ההליך עד תום, כן ייפסקו הוצאות. </w:t>
      </w:r>
    </w:p>
    <w:p w14:paraId="23E57AC2" w14:textId="06442F9A" w:rsidR="00DC48FB" w:rsidRDefault="00DC48FB" w:rsidP="003144B4">
      <w:pPr>
        <w:jc w:val="both"/>
        <w:rPr>
          <w:rFonts w:ascii="David" w:hAnsi="David" w:cs="David"/>
          <w:sz w:val="24"/>
          <w:szCs w:val="24"/>
          <w:rtl/>
        </w:rPr>
      </w:pPr>
      <w:r>
        <w:rPr>
          <w:rFonts w:ascii="David" w:hAnsi="David" w:cs="David" w:hint="cs"/>
          <w:sz w:val="24"/>
          <w:szCs w:val="24"/>
          <w:rtl/>
        </w:rPr>
        <w:t xml:space="preserve">האם </w:t>
      </w:r>
      <w:r w:rsidRPr="001A49D1">
        <w:rPr>
          <w:rFonts w:ascii="David" w:hAnsi="David" w:cs="David" w:hint="cs"/>
          <w:b/>
          <w:bCs/>
          <w:sz w:val="24"/>
          <w:szCs w:val="24"/>
          <w:rtl/>
        </w:rPr>
        <w:t>הולדת ילדים נוספים בפרק ב'</w:t>
      </w:r>
      <w:r>
        <w:rPr>
          <w:rFonts w:ascii="David" w:hAnsi="David" w:cs="David" w:hint="cs"/>
          <w:sz w:val="24"/>
          <w:szCs w:val="24"/>
          <w:rtl/>
        </w:rPr>
        <w:t xml:space="preserve"> יכולה להיחשב לשינוי נסיבות מהותי</w:t>
      </w:r>
      <w:r w:rsidR="001A49D1">
        <w:rPr>
          <w:rFonts w:ascii="David" w:hAnsi="David" w:cs="David" w:hint="cs"/>
          <w:sz w:val="24"/>
          <w:szCs w:val="24"/>
          <w:rtl/>
        </w:rPr>
        <w:t xml:space="preserve"> לצורך הפחתה בדמי המזונות</w:t>
      </w:r>
      <w:r>
        <w:rPr>
          <w:rFonts w:ascii="David" w:hAnsi="David" w:cs="David" w:hint="cs"/>
          <w:sz w:val="24"/>
          <w:szCs w:val="24"/>
          <w:rtl/>
        </w:rPr>
        <w:t>? התשובה לכך אינה חד משמעית</w:t>
      </w:r>
      <w:r w:rsidR="001A49D1">
        <w:rPr>
          <w:rFonts w:ascii="David" w:hAnsi="David" w:cs="David" w:hint="cs"/>
          <w:sz w:val="24"/>
          <w:szCs w:val="24"/>
          <w:rtl/>
        </w:rPr>
        <w:t xml:space="preserve">. ההלכה הפסוקה קובעת כי באופן עקרוני, הולדת ילד נוסף לאב מאישה אחרת מהווה שינוי נסיבות מהותי, יחד עם זאת, הפחתה תעשה רק כאשר האב הצליח להוכיח את הירידה החדה במצבו הכלכלי תוך בחינת מצבה הכלכלי של </w:t>
      </w:r>
      <w:r w:rsidR="0080479B">
        <w:rPr>
          <w:rFonts w:ascii="David" w:hAnsi="David" w:cs="David" w:hint="cs"/>
          <w:sz w:val="24"/>
          <w:szCs w:val="24"/>
          <w:rtl/>
        </w:rPr>
        <w:t>אם ילדיו מפרק ב', כלומר, אם האב בכלל מתגורר בנכס של אשתו הנוכחית שמכניסה גם שכר נאה לתא המשפחתי והאב לא הצליח להוכיח שמצבו הכלכלי הורע באופן מהותי, אזי שהולדת ילדים לכשעצמה לא תעמוד לבדה לצורך הפחתה בדמי המזונות מאחר וההנחה היא שבני זוג שמחליטים באופן מודע להביא ילדים לעולם, עושים זאת בידיעה שיוכלו לכלכלם. מכאן שכל מקרה יבחן לגופו אך ראוי לציין שבמקרים אלו, גם אם תהיה בסופו של דבר הפחתה בדמי המזונות, תהיה זו לרוב הפחתה מינורית שאולי לא תמיד שווה את ניהול ההליך כולו</w:t>
      </w:r>
      <w:r w:rsidR="00FD5024">
        <w:rPr>
          <w:rFonts w:ascii="David" w:hAnsi="David" w:cs="David" w:hint="cs"/>
          <w:sz w:val="24"/>
          <w:szCs w:val="24"/>
          <w:rtl/>
        </w:rPr>
        <w:t xml:space="preserve">, לרבות </w:t>
      </w:r>
      <w:r w:rsidR="0080479B">
        <w:rPr>
          <w:rFonts w:ascii="David" w:hAnsi="David" w:cs="David" w:hint="cs"/>
          <w:sz w:val="24"/>
          <w:szCs w:val="24"/>
          <w:rtl/>
        </w:rPr>
        <w:t xml:space="preserve"> שכר הטרחה </w:t>
      </w:r>
      <w:r w:rsidR="00FD5024">
        <w:rPr>
          <w:rFonts w:ascii="David" w:hAnsi="David" w:cs="David" w:hint="cs"/>
          <w:sz w:val="24"/>
          <w:szCs w:val="24"/>
          <w:rtl/>
        </w:rPr>
        <w:t xml:space="preserve">של </w:t>
      </w:r>
      <w:r w:rsidR="0080479B">
        <w:rPr>
          <w:rFonts w:ascii="David" w:hAnsi="David" w:cs="David" w:hint="cs"/>
          <w:sz w:val="24"/>
          <w:szCs w:val="24"/>
          <w:rtl/>
        </w:rPr>
        <w:t>עורך הדין</w:t>
      </w:r>
      <w:r w:rsidR="00FD5024">
        <w:rPr>
          <w:rFonts w:ascii="David" w:hAnsi="David" w:cs="David" w:hint="cs"/>
          <w:sz w:val="24"/>
          <w:szCs w:val="24"/>
          <w:rtl/>
        </w:rPr>
        <w:t>, הזמן המושקע בתביעה, ואת ההחמרה ביחסים בין ההורים הגרושים מעצם הגשת התביעה</w:t>
      </w:r>
      <w:r w:rsidR="0080479B">
        <w:rPr>
          <w:rFonts w:ascii="David" w:hAnsi="David" w:cs="David" w:hint="cs"/>
          <w:sz w:val="24"/>
          <w:szCs w:val="24"/>
          <w:rtl/>
        </w:rPr>
        <w:t xml:space="preserve">. </w:t>
      </w:r>
    </w:p>
    <w:p w14:paraId="7E8D6DD3" w14:textId="422CBDAD" w:rsidR="004564FD" w:rsidRDefault="00F1674A" w:rsidP="00F1674A">
      <w:pPr>
        <w:jc w:val="both"/>
        <w:rPr>
          <w:rFonts w:ascii="David" w:hAnsi="David" w:cs="David"/>
          <w:sz w:val="24"/>
          <w:szCs w:val="24"/>
          <w:rtl/>
        </w:rPr>
      </w:pPr>
      <w:r>
        <w:rPr>
          <w:rFonts w:ascii="David" w:hAnsi="David" w:cs="David" w:hint="cs"/>
          <w:sz w:val="24"/>
          <w:szCs w:val="24"/>
          <w:rtl/>
        </w:rPr>
        <w:t xml:space="preserve">האם </w:t>
      </w:r>
      <w:r w:rsidRPr="00F1674A">
        <w:rPr>
          <w:rFonts w:ascii="David" w:hAnsi="David" w:cs="David" w:hint="cs"/>
          <w:b/>
          <w:bCs/>
          <w:sz w:val="24"/>
          <w:szCs w:val="24"/>
          <w:rtl/>
        </w:rPr>
        <w:t xml:space="preserve">שינוי במצב הרפואי </w:t>
      </w:r>
      <w:r>
        <w:rPr>
          <w:rFonts w:ascii="David" w:hAnsi="David" w:cs="David" w:hint="cs"/>
          <w:sz w:val="24"/>
          <w:szCs w:val="24"/>
          <w:rtl/>
        </w:rPr>
        <w:t xml:space="preserve">של האם או של האב יכול להיחשב שינוי נסיבות מהותי? תלוי, כל מקרה ייבחן לגופו בהתאם לשינוי שהמצב הרפואי הביא עמו, אם בכלל הביא לשינוי וכמובן בשופט הדן בתיק. </w:t>
      </w:r>
    </w:p>
    <w:p w14:paraId="32A2B21F" w14:textId="77777777" w:rsidR="004564FD" w:rsidRPr="00F1674A" w:rsidRDefault="004564FD" w:rsidP="003144B4">
      <w:pPr>
        <w:jc w:val="both"/>
        <w:rPr>
          <w:rFonts w:ascii="David" w:hAnsi="David" w:cs="David"/>
          <w:b/>
          <w:bCs/>
          <w:sz w:val="28"/>
          <w:szCs w:val="28"/>
          <w:rtl/>
        </w:rPr>
      </w:pPr>
    </w:p>
    <w:p w14:paraId="36877AF4" w14:textId="5D34F8EE" w:rsidR="004564FD" w:rsidRPr="00F1674A" w:rsidRDefault="004841D6" w:rsidP="003144B4">
      <w:pPr>
        <w:jc w:val="both"/>
        <w:rPr>
          <w:rFonts w:ascii="David" w:hAnsi="David" w:cs="David"/>
          <w:b/>
          <w:bCs/>
          <w:sz w:val="28"/>
          <w:szCs w:val="28"/>
          <w:rtl/>
        </w:rPr>
      </w:pPr>
      <w:r w:rsidRPr="00F1674A">
        <w:rPr>
          <w:rFonts w:ascii="David" w:hAnsi="David" w:cs="David" w:hint="cs"/>
          <w:b/>
          <w:bCs/>
          <w:sz w:val="28"/>
          <w:szCs w:val="28"/>
          <w:rtl/>
        </w:rPr>
        <w:t xml:space="preserve">האם ההלכה החדשה (בע"מ 919/15) מהווה שינוי נסיבות מהותי? </w:t>
      </w:r>
    </w:p>
    <w:p w14:paraId="123E3B18" w14:textId="77777777" w:rsidR="00620665" w:rsidRDefault="00102814" w:rsidP="003144B4">
      <w:pPr>
        <w:jc w:val="both"/>
        <w:rPr>
          <w:rFonts w:ascii="David" w:hAnsi="David" w:cs="David"/>
          <w:sz w:val="24"/>
          <w:szCs w:val="24"/>
          <w:rtl/>
        </w:rPr>
      </w:pPr>
      <w:r>
        <w:rPr>
          <w:rFonts w:ascii="David" w:hAnsi="David" w:cs="David" w:hint="cs"/>
          <w:sz w:val="24"/>
          <w:szCs w:val="24"/>
          <w:rtl/>
        </w:rPr>
        <w:t>טרם אפרט את המצב לאשורו היום, ראוי לסקר בקצרה את שינו</w:t>
      </w:r>
      <w:r w:rsidR="00620665">
        <w:rPr>
          <w:rFonts w:ascii="David" w:hAnsi="David" w:cs="David" w:hint="cs"/>
          <w:sz w:val="24"/>
          <w:szCs w:val="24"/>
          <w:rtl/>
        </w:rPr>
        <w:t>י</w:t>
      </w:r>
      <w:r>
        <w:rPr>
          <w:rFonts w:ascii="David" w:hAnsi="David" w:cs="David" w:hint="cs"/>
          <w:sz w:val="24"/>
          <w:szCs w:val="24"/>
          <w:rtl/>
        </w:rPr>
        <w:t xml:space="preserve">י המגמה בשנים האחרונות ביחס לתביעות מסוג זה. </w:t>
      </w:r>
    </w:p>
    <w:p w14:paraId="77CA2969" w14:textId="3ADB030F" w:rsidR="00102814" w:rsidRDefault="00102814" w:rsidP="003144B4">
      <w:pPr>
        <w:jc w:val="both"/>
        <w:rPr>
          <w:rFonts w:ascii="David" w:hAnsi="David" w:cs="David"/>
          <w:sz w:val="24"/>
          <w:szCs w:val="24"/>
          <w:rtl/>
        </w:rPr>
      </w:pPr>
      <w:r>
        <w:rPr>
          <w:rFonts w:ascii="David" w:hAnsi="David" w:cs="David" w:hint="cs"/>
          <w:sz w:val="24"/>
          <w:szCs w:val="24"/>
          <w:rtl/>
        </w:rPr>
        <w:t>עד לחו</w:t>
      </w:r>
      <w:r w:rsidR="00432191">
        <w:rPr>
          <w:rFonts w:ascii="David" w:hAnsi="David" w:cs="David" w:hint="cs"/>
          <w:sz w:val="24"/>
          <w:szCs w:val="24"/>
          <w:rtl/>
        </w:rPr>
        <w:t>דש יולי 2017 היה מקובל להטיל סכומי מזונות גבוהים על אבות</w:t>
      </w:r>
      <w:r w:rsidR="006D3E2D">
        <w:rPr>
          <w:rFonts w:ascii="David" w:hAnsi="David" w:cs="David" w:hint="cs"/>
          <w:sz w:val="24"/>
          <w:szCs w:val="24"/>
          <w:rtl/>
        </w:rPr>
        <w:t xml:space="preserve"> רק בשל מגדרם</w:t>
      </w:r>
      <w:r w:rsidR="00432191">
        <w:rPr>
          <w:rFonts w:ascii="David" w:hAnsi="David" w:cs="David" w:hint="cs"/>
          <w:sz w:val="24"/>
          <w:szCs w:val="24"/>
          <w:rtl/>
        </w:rPr>
        <w:t xml:space="preserve">. </w:t>
      </w:r>
      <w:r w:rsidR="00620665">
        <w:rPr>
          <w:rFonts w:ascii="David" w:hAnsi="David" w:cs="David" w:hint="cs"/>
          <w:sz w:val="24"/>
          <w:szCs w:val="24"/>
          <w:rtl/>
        </w:rPr>
        <w:t xml:space="preserve">חוסר השוויון המובהק בין המינים הגיע בסופו של דבר לבית המשפט העליון </w:t>
      </w:r>
      <w:r w:rsidR="00C93073">
        <w:rPr>
          <w:rFonts w:ascii="David" w:hAnsi="David" w:cs="David" w:hint="cs"/>
          <w:sz w:val="24"/>
          <w:szCs w:val="24"/>
          <w:rtl/>
        </w:rPr>
        <w:t>ש</w:t>
      </w:r>
      <w:r w:rsidR="00432191">
        <w:rPr>
          <w:rFonts w:ascii="David" w:hAnsi="David" w:cs="David" w:hint="cs"/>
          <w:sz w:val="24"/>
          <w:szCs w:val="24"/>
          <w:rtl/>
        </w:rPr>
        <w:t>בחודש יולי 2017</w:t>
      </w:r>
      <w:r w:rsidR="005565AC">
        <w:rPr>
          <w:rFonts w:ascii="David" w:hAnsi="David" w:cs="David" w:hint="cs"/>
          <w:sz w:val="24"/>
          <w:szCs w:val="24"/>
          <w:rtl/>
        </w:rPr>
        <w:t xml:space="preserve"> </w:t>
      </w:r>
      <w:proofErr w:type="spellStart"/>
      <w:r w:rsidR="005565AC">
        <w:rPr>
          <w:rFonts w:ascii="David" w:hAnsi="David" w:cs="David" w:hint="cs"/>
          <w:sz w:val="24"/>
          <w:szCs w:val="24"/>
          <w:rtl/>
        </w:rPr>
        <w:t>בבע"מ</w:t>
      </w:r>
      <w:proofErr w:type="spellEnd"/>
      <w:r w:rsidR="005565AC">
        <w:rPr>
          <w:rFonts w:ascii="David" w:hAnsi="David" w:cs="David" w:hint="cs"/>
          <w:sz w:val="24"/>
          <w:szCs w:val="24"/>
          <w:rtl/>
        </w:rPr>
        <w:t xml:space="preserve"> 919/15,</w:t>
      </w:r>
      <w:r w:rsidR="00540870">
        <w:rPr>
          <w:rFonts w:ascii="David" w:hAnsi="David" w:cs="David" w:hint="cs"/>
          <w:sz w:val="24"/>
          <w:szCs w:val="24"/>
          <w:rtl/>
        </w:rPr>
        <w:t xml:space="preserve"> </w:t>
      </w:r>
      <w:r w:rsidR="00C93073">
        <w:rPr>
          <w:rFonts w:ascii="David" w:hAnsi="David" w:cs="David" w:hint="cs"/>
          <w:sz w:val="24"/>
          <w:szCs w:val="24"/>
          <w:rtl/>
        </w:rPr>
        <w:t xml:space="preserve">הפך </w:t>
      </w:r>
      <w:r w:rsidR="005565AC">
        <w:rPr>
          <w:rFonts w:ascii="David" w:hAnsi="David" w:cs="David" w:hint="cs"/>
          <w:sz w:val="24"/>
          <w:szCs w:val="24"/>
          <w:rtl/>
        </w:rPr>
        <w:t xml:space="preserve">את </w:t>
      </w:r>
      <w:r w:rsidR="00620665">
        <w:rPr>
          <w:rFonts w:ascii="David" w:hAnsi="David" w:cs="David" w:hint="cs"/>
          <w:sz w:val="24"/>
          <w:szCs w:val="24"/>
          <w:rtl/>
        </w:rPr>
        <w:t xml:space="preserve">דרך חישוב דמי מזונות </w:t>
      </w:r>
      <w:r w:rsidR="005565AC">
        <w:rPr>
          <w:rFonts w:ascii="David" w:hAnsi="David" w:cs="David" w:hint="cs"/>
          <w:sz w:val="24"/>
          <w:szCs w:val="24"/>
          <w:rtl/>
        </w:rPr>
        <w:t>ה</w:t>
      </w:r>
      <w:r w:rsidR="00620665">
        <w:rPr>
          <w:rFonts w:ascii="David" w:hAnsi="David" w:cs="David" w:hint="cs"/>
          <w:sz w:val="24"/>
          <w:szCs w:val="24"/>
          <w:rtl/>
        </w:rPr>
        <w:t xml:space="preserve">קטינים בגילאי 6-15, </w:t>
      </w:r>
      <w:r w:rsidR="005565AC">
        <w:rPr>
          <w:rFonts w:ascii="David" w:hAnsi="David" w:cs="David" w:hint="cs"/>
          <w:sz w:val="24"/>
          <w:szCs w:val="24"/>
          <w:rtl/>
        </w:rPr>
        <w:t xml:space="preserve">כך </w:t>
      </w:r>
      <w:r w:rsidR="00620665">
        <w:rPr>
          <w:rFonts w:ascii="David" w:hAnsi="David" w:cs="David" w:hint="cs"/>
          <w:sz w:val="24"/>
          <w:szCs w:val="24"/>
          <w:rtl/>
        </w:rPr>
        <w:t>שהעיקרון המנחה הוא איזון ושוויון בין ההורים</w:t>
      </w:r>
      <w:r w:rsidR="005565AC">
        <w:rPr>
          <w:rFonts w:ascii="David" w:hAnsi="David" w:cs="David" w:hint="cs"/>
          <w:sz w:val="24"/>
          <w:szCs w:val="24"/>
          <w:rtl/>
        </w:rPr>
        <w:t xml:space="preserve"> בנטל הכלכלי ולא עוד האב כמפרנס יחיד. </w:t>
      </w:r>
    </w:p>
    <w:p w14:paraId="727C1205" w14:textId="1E6B89A0" w:rsidR="005565AC" w:rsidRDefault="005565AC" w:rsidP="003144B4">
      <w:pPr>
        <w:jc w:val="both"/>
        <w:rPr>
          <w:rFonts w:ascii="David" w:hAnsi="David" w:cs="David"/>
          <w:sz w:val="24"/>
          <w:szCs w:val="24"/>
          <w:rtl/>
        </w:rPr>
      </w:pPr>
      <w:r>
        <w:rPr>
          <w:rFonts w:ascii="David" w:hAnsi="David" w:cs="David" w:hint="cs"/>
          <w:sz w:val="24"/>
          <w:szCs w:val="24"/>
          <w:rtl/>
        </w:rPr>
        <w:t xml:space="preserve">בדרך זו, דמי מזונות הקטינים </w:t>
      </w:r>
      <w:r w:rsidR="00A2571D">
        <w:rPr>
          <w:rFonts w:ascii="David" w:hAnsi="David" w:cs="David" w:hint="cs"/>
          <w:sz w:val="24"/>
          <w:szCs w:val="24"/>
          <w:rtl/>
        </w:rPr>
        <w:t>נקבעים מאז בע"מ 919/15 עפ"י חלוקת זמני השהות של הילדים עם הוריהם</w:t>
      </w:r>
      <w:r w:rsidR="00E73FD9">
        <w:rPr>
          <w:rFonts w:ascii="David" w:hAnsi="David" w:cs="David" w:hint="cs"/>
          <w:sz w:val="24"/>
          <w:szCs w:val="24"/>
          <w:rtl/>
        </w:rPr>
        <w:t xml:space="preserve">, </w:t>
      </w:r>
      <w:r w:rsidR="00A2571D">
        <w:rPr>
          <w:rFonts w:ascii="David" w:hAnsi="David" w:cs="David" w:hint="cs"/>
          <w:sz w:val="24"/>
          <w:szCs w:val="24"/>
          <w:rtl/>
        </w:rPr>
        <w:t>בהתאם ליכולת הכלכלית של כל אחד מההורים</w:t>
      </w:r>
      <w:r w:rsidR="00E73FD9">
        <w:rPr>
          <w:rFonts w:ascii="David" w:hAnsi="David" w:cs="David" w:hint="cs"/>
          <w:sz w:val="24"/>
          <w:szCs w:val="24"/>
          <w:rtl/>
        </w:rPr>
        <w:t xml:space="preserve"> וליתר הנסיבות </w:t>
      </w:r>
      <w:r w:rsidR="00A2571D">
        <w:rPr>
          <w:rFonts w:ascii="David" w:hAnsi="David" w:cs="David" w:hint="cs"/>
          <w:sz w:val="24"/>
          <w:szCs w:val="24"/>
          <w:rtl/>
        </w:rPr>
        <w:t xml:space="preserve">כאשר כל מקרה ייבחן לגופו. </w:t>
      </w:r>
    </w:p>
    <w:p w14:paraId="29602ADC" w14:textId="00E2C96B" w:rsidR="00A2571D" w:rsidRDefault="00484FDC" w:rsidP="003144B4">
      <w:pPr>
        <w:jc w:val="both"/>
        <w:rPr>
          <w:rFonts w:ascii="David" w:hAnsi="David" w:cs="David"/>
          <w:sz w:val="24"/>
          <w:szCs w:val="24"/>
          <w:rtl/>
        </w:rPr>
      </w:pPr>
      <w:r>
        <w:rPr>
          <w:rFonts w:ascii="David" w:hAnsi="David" w:cs="David" w:hint="cs"/>
          <w:sz w:val="24"/>
          <w:szCs w:val="24"/>
          <w:rtl/>
        </w:rPr>
        <w:t xml:space="preserve">בשנים שלאחר </w:t>
      </w:r>
      <w:r w:rsidR="00E73FD9">
        <w:rPr>
          <w:rFonts w:ascii="David" w:hAnsi="David" w:cs="David" w:hint="cs"/>
          <w:sz w:val="24"/>
          <w:szCs w:val="24"/>
          <w:rtl/>
        </w:rPr>
        <w:t xml:space="preserve">ההלכה החדשה ובעקבות השינוי הדרמטי, פנו אבות בתביעות להפחתת מזונות, תוך שהסתמכו על ההלכה החדשה כשינוי הנסיבות המהותי, מה שעורר חוסר אחידות ובהירות בפסקי הדין שניתנו מאז, עד לפסיקת העליון </w:t>
      </w:r>
      <w:proofErr w:type="spellStart"/>
      <w:r w:rsidR="00E73FD9">
        <w:rPr>
          <w:rFonts w:ascii="David" w:hAnsi="David" w:cs="David" w:hint="cs"/>
          <w:sz w:val="24"/>
          <w:szCs w:val="24"/>
          <w:rtl/>
        </w:rPr>
        <w:t>בבע"מ</w:t>
      </w:r>
      <w:proofErr w:type="spellEnd"/>
      <w:r w:rsidR="00E73FD9">
        <w:rPr>
          <w:rFonts w:ascii="David" w:hAnsi="David" w:cs="David" w:hint="cs"/>
          <w:sz w:val="24"/>
          <w:szCs w:val="24"/>
          <w:rtl/>
        </w:rPr>
        <w:t xml:space="preserve"> 7670/18 שניתנה בחודש ינואר 2021, שקבעה שאין בהלכה החדשה (בע"מ 919/15) כדי לשנות או להשפיע על דרישת שינוי הנסיבות המהותי, ובמילים אחרות, </w:t>
      </w:r>
      <w:r w:rsidR="00FD5024">
        <w:rPr>
          <w:rFonts w:ascii="David" w:hAnsi="David" w:cs="David" w:hint="cs"/>
          <w:b/>
          <w:bCs/>
          <w:sz w:val="24"/>
          <w:szCs w:val="24"/>
          <w:rtl/>
        </w:rPr>
        <w:t xml:space="preserve">הלכת בע"מ 919/15, לבדה, </w:t>
      </w:r>
      <w:r w:rsidR="00E73FD9" w:rsidRPr="00E73FD9">
        <w:rPr>
          <w:rFonts w:ascii="David" w:hAnsi="David" w:cs="David" w:hint="cs"/>
          <w:b/>
          <w:bCs/>
          <w:sz w:val="24"/>
          <w:szCs w:val="24"/>
          <w:rtl/>
        </w:rPr>
        <w:t xml:space="preserve"> אינה מהווה שינוי נסיבות מהותי</w:t>
      </w:r>
      <w:r w:rsidR="00E73FD9">
        <w:rPr>
          <w:rFonts w:ascii="David" w:hAnsi="David" w:cs="David" w:hint="cs"/>
          <w:sz w:val="24"/>
          <w:szCs w:val="24"/>
          <w:rtl/>
        </w:rPr>
        <w:t xml:space="preserve">. </w:t>
      </w:r>
    </w:p>
    <w:p w14:paraId="1DCB269B" w14:textId="1751CF12" w:rsidR="00E73FD9" w:rsidRDefault="00582F3A" w:rsidP="00582F3A">
      <w:pPr>
        <w:jc w:val="both"/>
        <w:rPr>
          <w:rFonts w:ascii="David" w:hAnsi="David" w:cs="David"/>
          <w:sz w:val="24"/>
          <w:szCs w:val="24"/>
          <w:rtl/>
        </w:rPr>
      </w:pPr>
      <w:r>
        <w:rPr>
          <w:rFonts w:ascii="David" w:hAnsi="David" w:cs="David" w:hint="cs"/>
          <w:sz w:val="24"/>
          <w:szCs w:val="24"/>
          <w:rtl/>
        </w:rPr>
        <w:t xml:space="preserve">מכאן </w:t>
      </w:r>
      <w:r w:rsidR="00486D30">
        <w:rPr>
          <w:rFonts w:ascii="David" w:hAnsi="David" w:cs="David" w:hint="cs"/>
          <w:sz w:val="24"/>
          <w:szCs w:val="24"/>
          <w:rtl/>
        </w:rPr>
        <w:t>שהלכת בע"מ 919/15</w:t>
      </w:r>
      <w:r>
        <w:rPr>
          <w:rFonts w:ascii="David" w:hAnsi="David" w:cs="David" w:hint="cs"/>
          <w:sz w:val="24"/>
          <w:szCs w:val="24"/>
          <w:rtl/>
        </w:rPr>
        <w:t xml:space="preserve"> לא מהווה שינוי נסיבות מהותי, מה שכן, ככל ו</w:t>
      </w:r>
      <w:r w:rsidR="00E73FD9">
        <w:rPr>
          <w:rFonts w:ascii="David" w:hAnsi="David" w:cs="David" w:hint="cs"/>
          <w:sz w:val="24"/>
          <w:szCs w:val="24"/>
          <w:rtl/>
        </w:rPr>
        <w:t xml:space="preserve">תביעה להפחתת מזונות תתקבל לאחר שהוכח שינוי נסיבות מהותי שיצדיק את ההפחתה (ולא </w:t>
      </w:r>
      <w:r w:rsidR="00113B71">
        <w:rPr>
          <w:rFonts w:ascii="David" w:hAnsi="David" w:cs="David" w:hint="cs"/>
          <w:sz w:val="24"/>
          <w:szCs w:val="24"/>
          <w:rtl/>
        </w:rPr>
        <w:t>הלכת בע"מ 919/15</w:t>
      </w:r>
      <w:r w:rsidR="00E73FD9">
        <w:rPr>
          <w:rFonts w:ascii="David" w:hAnsi="David" w:cs="David" w:hint="cs"/>
          <w:sz w:val="24"/>
          <w:szCs w:val="24"/>
          <w:rtl/>
        </w:rPr>
        <w:t xml:space="preserve">), רק אז בבואו של בית המשפט לחשב את דמי המזונות, יעשה הוא שימוש </w:t>
      </w:r>
      <w:r w:rsidR="00632412">
        <w:rPr>
          <w:rFonts w:ascii="David" w:hAnsi="David" w:cs="David" w:hint="cs"/>
          <w:sz w:val="24"/>
          <w:szCs w:val="24"/>
          <w:rtl/>
        </w:rPr>
        <w:t>בכללי החישוב שנקבעו</w:t>
      </w:r>
      <w:r w:rsidR="00E73FD9">
        <w:rPr>
          <w:rFonts w:ascii="David" w:hAnsi="David" w:cs="David" w:hint="cs"/>
          <w:sz w:val="24"/>
          <w:szCs w:val="24"/>
          <w:rtl/>
        </w:rPr>
        <w:t xml:space="preserve"> בהלכ</w:t>
      </w:r>
      <w:r w:rsidR="00113B71">
        <w:rPr>
          <w:rFonts w:ascii="David" w:hAnsi="David" w:cs="David" w:hint="cs"/>
          <w:sz w:val="24"/>
          <w:szCs w:val="24"/>
          <w:rtl/>
        </w:rPr>
        <w:t>ת בע"מ 919/15.</w:t>
      </w:r>
    </w:p>
    <w:p w14:paraId="3FF78AE9" w14:textId="7E0AD9FB" w:rsidR="00582F3A" w:rsidRDefault="00582F3A" w:rsidP="003144B4">
      <w:pPr>
        <w:jc w:val="both"/>
        <w:rPr>
          <w:rFonts w:ascii="David" w:hAnsi="David" w:cs="David"/>
          <w:sz w:val="24"/>
          <w:szCs w:val="24"/>
          <w:rtl/>
        </w:rPr>
      </w:pPr>
      <w:r>
        <w:rPr>
          <w:rFonts w:ascii="David" w:hAnsi="David" w:cs="David" w:hint="cs"/>
          <w:sz w:val="24"/>
          <w:szCs w:val="24"/>
          <w:rtl/>
        </w:rPr>
        <w:lastRenderedPageBreak/>
        <w:t xml:space="preserve">לסיכום עניין זה, אין רשימת מכולת לשינויים שיתקבלו להיות מהותיים לצורך התביעה, כל שינוי ייבחן לגופו, בהתאם לנסיבות, לשופט הדן בהליך ולאופן הגשת התביעה. </w:t>
      </w:r>
    </w:p>
    <w:p w14:paraId="117DA763" w14:textId="40FC0222" w:rsidR="00632412" w:rsidRDefault="00632412" w:rsidP="003144B4">
      <w:pPr>
        <w:jc w:val="both"/>
        <w:rPr>
          <w:rFonts w:ascii="David" w:hAnsi="David" w:cs="David"/>
          <w:sz w:val="24"/>
          <w:szCs w:val="24"/>
          <w:rtl/>
        </w:rPr>
      </w:pPr>
      <w:r>
        <w:rPr>
          <w:rFonts w:ascii="David" w:hAnsi="David" w:cs="David" w:hint="cs"/>
          <w:sz w:val="24"/>
          <w:szCs w:val="24"/>
          <w:rtl/>
        </w:rPr>
        <w:t>הצלחת ההליך והשגת השינוי בגובה המזונות תלויה רבות ב</w:t>
      </w:r>
      <w:r w:rsidR="00582F3A">
        <w:rPr>
          <w:rFonts w:ascii="David" w:hAnsi="David" w:cs="David" w:hint="cs"/>
          <w:sz w:val="24"/>
          <w:szCs w:val="24"/>
          <w:rtl/>
        </w:rPr>
        <w:t xml:space="preserve">עורך הדין המגיש את התביעה, בהצגת הטיעונים והוכחתם באופן ברור וממוקד שלא יותיר ספק כי יש לשנות את גובה המזונות ולא צודק יהיה להותירם על כנם. </w:t>
      </w:r>
      <w:r w:rsidR="00AC3679">
        <w:rPr>
          <w:rFonts w:ascii="David" w:hAnsi="David" w:cs="David" w:hint="cs"/>
          <w:sz w:val="24"/>
          <w:szCs w:val="24"/>
          <w:rtl/>
        </w:rPr>
        <w:t xml:space="preserve">יחד עם זאת, לא בכל מחיר יהיה שווה לנהל הליך כזה ולכן מומלץ להתייעץ רק עם עורך דין בעל ניסיון בתחום זה שיפרוס בפניכם את האפשרויות, את הסיכויים ואת הסיכונים. </w:t>
      </w:r>
    </w:p>
    <w:p w14:paraId="73671478" w14:textId="77777777" w:rsidR="00FD5024" w:rsidRDefault="00FD5024" w:rsidP="003144B4">
      <w:pPr>
        <w:jc w:val="both"/>
        <w:rPr>
          <w:rFonts w:ascii="David" w:hAnsi="David" w:cs="David"/>
          <w:sz w:val="24"/>
          <w:szCs w:val="24"/>
          <w:rtl/>
        </w:rPr>
      </w:pPr>
    </w:p>
    <w:p w14:paraId="53D2F938" w14:textId="658F6399" w:rsidR="00FD5024" w:rsidRDefault="00FD5024" w:rsidP="00FD5024">
      <w:pPr>
        <w:jc w:val="both"/>
        <w:rPr>
          <w:rFonts w:ascii="David" w:hAnsi="David" w:cs="David"/>
          <w:sz w:val="24"/>
          <w:szCs w:val="24"/>
          <w:rtl/>
        </w:rPr>
      </w:pPr>
      <w:r>
        <w:rPr>
          <w:rFonts w:ascii="David" w:hAnsi="David" w:cs="David" w:hint="cs"/>
          <w:sz w:val="24"/>
          <w:szCs w:val="24"/>
          <w:rtl/>
        </w:rPr>
        <w:t>מכל מקום, בטרם רצים להגיש בקשה להפחתת /</w:t>
      </w:r>
      <w:r w:rsidR="00113B71">
        <w:rPr>
          <w:rFonts w:ascii="David" w:hAnsi="David" w:cs="David" w:hint="cs"/>
          <w:sz w:val="24"/>
          <w:szCs w:val="24"/>
          <w:rtl/>
        </w:rPr>
        <w:t>הגדלת</w:t>
      </w:r>
      <w:r>
        <w:rPr>
          <w:rFonts w:ascii="David" w:hAnsi="David" w:cs="David" w:hint="cs"/>
          <w:sz w:val="24"/>
          <w:szCs w:val="24"/>
          <w:rtl/>
        </w:rPr>
        <w:t xml:space="preserve"> מזונות חשוב לזכור שבעוד שנים בודדות הנושא כבר לא יהיה רלוונטי משום שאותם קטינים כבר יהפכו בגירים וכל נושא מזונותיהם יהיה נחלת עבר, אולם אנו נאלץ לשאת את המשקעים שהתביעה תשאיר במערכת היחסים שלנו עם הצד השני גם אחרי שהילדים </w:t>
      </w:r>
      <w:r w:rsidR="00113B71">
        <w:rPr>
          <w:rFonts w:ascii="David" w:hAnsi="David" w:cs="David" w:hint="cs"/>
          <w:sz w:val="24"/>
          <w:szCs w:val="24"/>
          <w:rtl/>
        </w:rPr>
        <w:t>יבגרו</w:t>
      </w:r>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ולכן חשוב לשקול בכובד ראש עצם הגשת התביעה, ולהגישה רק במקרים בו חלילה נגרם לנו חסרון כיס או חוסר צדק משווע, ולא לרוץ לערכאות בשל זוטי דברים. </w:t>
      </w:r>
    </w:p>
    <w:p w14:paraId="2D207731" w14:textId="77777777" w:rsidR="00FD5024" w:rsidRDefault="00FD5024" w:rsidP="003144B4">
      <w:pPr>
        <w:jc w:val="both"/>
        <w:rPr>
          <w:rFonts w:ascii="David" w:hAnsi="David" w:cs="David"/>
          <w:sz w:val="24"/>
          <w:szCs w:val="24"/>
          <w:rtl/>
        </w:rPr>
      </w:pPr>
    </w:p>
    <w:p w14:paraId="2A10BA2B" w14:textId="75999C1F" w:rsidR="00AC3679" w:rsidRDefault="00AC3679" w:rsidP="003144B4">
      <w:pPr>
        <w:jc w:val="both"/>
        <w:rPr>
          <w:rFonts w:ascii="David" w:hAnsi="David" w:cs="David"/>
          <w:sz w:val="24"/>
          <w:szCs w:val="24"/>
          <w:rtl/>
        </w:rPr>
      </w:pPr>
      <w:r w:rsidRPr="00AC3679">
        <w:rPr>
          <w:rFonts w:ascii="David" w:hAnsi="David" w:cs="David"/>
          <w:sz w:val="24"/>
          <w:szCs w:val="24"/>
          <w:rtl/>
        </w:rPr>
        <w:t xml:space="preserve">משרדנו עוסק בתחום דיני המשפחה </w:t>
      </w:r>
      <w:r w:rsidR="00BA1397">
        <w:rPr>
          <w:rFonts w:ascii="David" w:hAnsi="David" w:cs="David" w:hint="cs"/>
          <w:sz w:val="24"/>
          <w:szCs w:val="24"/>
          <w:rtl/>
        </w:rPr>
        <w:t xml:space="preserve">על כל רבדיו </w:t>
      </w:r>
      <w:r w:rsidRPr="00AC3679">
        <w:rPr>
          <w:rFonts w:ascii="David" w:hAnsi="David" w:cs="David"/>
          <w:sz w:val="24"/>
          <w:szCs w:val="24"/>
          <w:rtl/>
        </w:rPr>
        <w:t xml:space="preserve">ובעל ניסיון רב </w:t>
      </w:r>
      <w:r>
        <w:rPr>
          <w:rFonts w:ascii="David" w:hAnsi="David" w:cs="David" w:hint="cs"/>
          <w:sz w:val="24"/>
          <w:szCs w:val="24"/>
          <w:rtl/>
        </w:rPr>
        <w:t xml:space="preserve">בתביעות מסוג זה </w:t>
      </w:r>
      <w:r w:rsidR="00BA1397">
        <w:rPr>
          <w:rFonts w:ascii="David" w:hAnsi="David" w:cs="David" w:hint="cs"/>
          <w:sz w:val="24"/>
          <w:szCs w:val="24"/>
          <w:rtl/>
        </w:rPr>
        <w:t>לרבות עריכת הסכמי גירושין וניהול מו"מ שיסייע לצדדים להגיע להסכמות שיחסכו ניהול הליכים בבתי המשפט</w:t>
      </w:r>
    </w:p>
    <w:p w14:paraId="3D1AACEC" w14:textId="7D6B4719" w:rsidR="00AC3679" w:rsidRDefault="00AC3679" w:rsidP="003144B4">
      <w:pPr>
        <w:jc w:val="both"/>
        <w:rPr>
          <w:rFonts w:ascii="David" w:hAnsi="David" w:cs="David"/>
          <w:sz w:val="24"/>
          <w:szCs w:val="24"/>
          <w:rtl/>
        </w:rPr>
      </w:pPr>
    </w:p>
    <w:p w14:paraId="3DC5F295" w14:textId="18DE9F92" w:rsidR="00582F3A" w:rsidRDefault="00582F3A" w:rsidP="003144B4">
      <w:pPr>
        <w:jc w:val="both"/>
        <w:rPr>
          <w:rFonts w:ascii="David" w:hAnsi="David" w:cs="David"/>
          <w:sz w:val="24"/>
          <w:szCs w:val="24"/>
          <w:rtl/>
        </w:rPr>
      </w:pPr>
    </w:p>
    <w:p w14:paraId="0DE68729" w14:textId="77777777" w:rsidR="00632412" w:rsidRDefault="00632412" w:rsidP="003144B4">
      <w:pPr>
        <w:jc w:val="both"/>
        <w:rPr>
          <w:rFonts w:ascii="David" w:hAnsi="David" w:cs="David"/>
          <w:sz w:val="24"/>
          <w:szCs w:val="24"/>
          <w:rtl/>
        </w:rPr>
      </w:pPr>
    </w:p>
    <w:p w14:paraId="47455603" w14:textId="77777777" w:rsidR="00602A52" w:rsidRPr="003144B4" w:rsidRDefault="00602A52" w:rsidP="003144B4">
      <w:pPr>
        <w:jc w:val="both"/>
        <w:rPr>
          <w:rFonts w:ascii="David" w:hAnsi="David" w:cs="David"/>
          <w:sz w:val="24"/>
          <w:szCs w:val="24"/>
        </w:rPr>
      </w:pPr>
    </w:p>
    <w:sectPr w:rsidR="00602A52" w:rsidRPr="003144B4" w:rsidSect="00BB5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4B4"/>
    <w:rsid w:val="000320F0"/>
    <w:rsid w:val="000E1791"/>
    <w:rsid w:val="00102814"/>
    <w:rsid w:val="0011182A"/>
    <w:rsid w:val="00113B71"/>
    <w:rsid w:val="00150482"/>
    <w:rsid w:val="00175640"/>
    <w:rsid w:val="00182E20"/>
    <w:rsid w:val="001A49D1"/>
    <w:rsid w:val="001B445D"/>
    <w:rsid w:val="002166A8"/>
    <w:rsid w:val="002625A4"/>
    <w:rsid w:val="0026351A"/>
    <w:rsid w:val="002B0CE2"/>
    <w:rsid w:val="002B1A2C"/>
    <w:rsid w:val="002D4E95"/>
    <w:rsid w:val="002E2809"/>
    <w:rsid w:val="003144B4"/>
    <w:rsid w:val="00355806"/>
    <w:rsid w:val="00362B5A"/>
    <w:rsid w:val="003D6353"/>
    <w:rsid w:val="00432191"/>
    <w:rsid w:val="004564FD"/>
    <w:rsid w:val="004841D6"/>
    <w:rsid w:val="00484FDC"/>
    <w:rsid w:val="00486D30"/>
    <w:rsid w:val="0049457A"/>
    <w:rsid w:val="004C6480"/>
    <w:rsid w:val="00502291"/>
    <w:rsid w:val="00540277"/>
    <w:rsid w:val="00540870"/>
    <w:rsid w:val="005565AC"/>
    <w:rsid w:val="005708AC"/>
    <w:rsid w:val="00582F3A"/>
    <w:rsid w:val="005D71C9"/>
    <w:rsid w:val="005E1063"/>
    <w:rsid w:val="00602A52"/>
    <w:rsid w:val="00614E10"/>
    <w:rsid w:val="00620665"/>
    <w:rsid w:val="00632412"/>
    <w:rsid w:val="00633603"/>
    <w:rsid w:val="00633AD6"/>
    <w:rsid w:val="00650B5A"/>
    <w:rsid w:val="006854BD"/>
    <w:rsid w:val="00690DA6"/>
    <w:rsid w:val="006A7AD1"/>
    <w:rsid w:val="006D0E5A"/>
    <w:rsid w:val="006D3E2D"/>
    <w:rsid w:val="007179DC"/>
    <w:rsid w:val="007500EB"/>
    <w:rsid w:val="0075410B"/>
    <w:rsid w:val="007E6230"/>
    <w:rsid w:val="0080479B"/>
    <w:rsid w:val="0081718F"/>
    <w:rsid w:val="008662FC"/>
    <w:rsid w:val="008B12DC"/>
    <w:rsid w:val="008C5734"/>
    <w:rsid w:val="008F7B93"/>
    <w:rsid w:val="00901D8E"/>
    <w:rsid w:val="00A150E6"/>
    <w:rsid w:val="00A2571D"/>
    <w:rsid w:val="00A56F87"/>
    <w:rsid w:val="00AC3679"/>
    <w:rsid w:val="00B75632"/>
    <w:rsid w:val="00BA1397"/>
    <w:rsid w:val="00BA5F68"/>
    <w:rsid w:val="00BB59E8"/>
    <w:rsid w:val="00BF7831"/>
    <w:rsid w:val="00C15D69"/>
    <w:rsid w:val="00C23A6F"/>
    <w:rsid w:val="00C93073"/>
    <w:rsid w:val="00CB2764"/>
    <w:rsid w:val="00D64F6C"/>
    <w:rsid w:val="00D720DB"/>
    <w:rsid w:val="00DC48FB"/>
    <w:rsid w:val="00DD786C"/>
    <w:rsid w:val="00E73FD9"/>
    <w:rsid w:val="00E825F9"/>
    <w:rsid w:val="00F1674A"/>
    <w:rsid w:val="00F45C87"/>
    <w:rsid w:val="00FC7180"/>
    <w:rsid w:val="00FD5024"/>
    <w:rsid w:val="00FF5A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BF1D"/>
  <w15:chartTrackingRefBased/>
  <w15:docId w15:val="{EC9C23F6-9DC7-484C-A198-7A7F11C1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D5024"/>
    <w:pPr>
      <w:spacing w:after="0" w:line="240" w:lineRule="auto"/>
    </w:pPr>
  </w:style>
  <w:style w:type="character" w:styleId="a4">
    <w:name w:val="annotation reference"/>
    <w:basedOn w:val="a0"/>
    <w:uiPriority w:val="99"/>
    <w:semiHidden/>
    <w:unhideWhenUsed/>
    <w:rsid w:val="00FD5024"/>
    <w:rPr>
      <w:sz w:val="16"/>
      <w:szCs w:val="16"/>
    </w:rPr>
  </w:style>
  <w:style w:type="paragraph" w:styleId="a5">
    <w:name w:val="annotation text"/>
    <w:basedOn w:val="a"/>
    <w:link w:val="a6"/>
    <w:uiPriority w:val="99"/>
    <w:unhideWhenUsed/>
    <w:rsid w:val="00FD5024"/>
    <w:pPr>
      <w:spacing w:line="240" w:lineRule="auto"/>
    </w:pPr>
    <w:rPr>
      <w:sz w:val="20"/>
      <w:szCs w:val="20"/>
    </w:rPr>
  </w:style>
  <w:style w:type="character" w:customStyle="1" w:styleId="a6">
    <w:name w:val="טקסט הערה תו"/>
    <w:basedOn w:val="a0"/>
    <w:link w:val="a5"/>
    <w:uiPriority w:val="99"/>
    <w:rsid w:val="00FD5024"/>
    <w:rPr>
      <w:sz w:val="20"/>
      <w:szCs w:val="20"/>
    </w:rPr>
  </w:style>
  <w:style w:type="paragraph" w:styleId="a7">
    <w:name w:val="annotation subject"/>
    <w:basedOn w:val="a5"/>
    <w:next w:val="a5"/>
    <w:link w:val="a8"/>
    <w:uiPriority w:val="99"/>
    <w:semiHidden/>
    <w:unhideWhenUsed/>
    <w:rsid w:val="00FD5024"/>
    <w:rPr>
      <w:b/>
      <w:bCs/>
    </w:rPr>
  </w:style>
  <w:style w:type="character" w:customStyle="1" w:styleId="a8">
    <w:name w:val="נושא הערה תו"/>
    <w:basedOn w:val="a6"/>
    <w:link w:val="a7"/>
    <w:uiPriority w:val="99"/>
    <w:semiHidden/>
    <w:rsid w:val="00FD50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1231</Words>
  <Characters>6158</Characters>
  <Application>Microsoft Office Word</Application>
  <DocSecurity>0</DocSecurity>
  <Lines>51</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 kedmi</dc:creator>
  <cp:keywords/>
  <dc:description/>
  <cp:lastModifiedBy>shy kedmi</cp:lastModifiedBy>
  <cp:revision>2</cp:revision>
  <dcterms:created xsi:type="dcterms:W3CDTF">2023-08-13T06:47:00Z</dcterms:created>
  <dcterms:modified xsi:type="dcterms:W3CDTF">2023-08-13T06:47:00Z</dcterms:modified>
</cp:coreProperties>
</file>